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389" w:rsidRPr="005A42A0" w:rsidRDefault="00771389" w:rsidP="00771389">
      <w:pPr>
        <w:rPr>
          <w:rFonts w:ascii="Times New Roman" w:eastAsiaTheme="majorEastAsia" w:hAnsi="Times New Roman"/>
          <w:b/>
          <w:bCs/>
        </w:rPr>
      </w:pPr>
      <w:bookmarkStart w:id="0" w:name="_GoBack"/>
      <w:bookmarkEnd w:id="0"/>
      <w:r w:rsidRPr="005A42A0">
        <w:rPr>
          <w:rFonts w:ascii="Times New Roman" w:hAnsi="Times New Roman"/>
          <w:b/>
        </w:rPr>
        <w:t xml:space="preserve">Course Title </w:t>
      </w:r>
      <w:r w:rsidRPr="005A42A0">
        <w:rPr>
          <w:rFonts w:ascii="Times New Roman" w:hAnsi="Times New Roman"/>
          <w:b/>
        </w:rPr>
        <w:tab/>
        <w:t xml:space="preserve">: </w:t>
      </w:r>
      <w:r w:rsidRPr="005A42A0">
        <w:rPr>
          <w:rFonts w:ascii="Times New Roman" w:hAnsi="Times New Roman"/>
          <w:b/>
        </w:rPr>
        <w:tab/>
        <w:t>Investment Management</w:t>
      </w:r>
    </w:p>
    <w:p w:rsidR="00771389" w:rsidRPr="007853EE" w:rsidRDefault="00771389" w:rsidP="00771389">
      <w:pPr>
        <w:jc w:val="both"/>
        <w:rPr>
          <w:rFonts w:ascii="Times New Roman" w:hAnsi="Times New Roman"/>
          <w:b/>
          <w:bCs/>
        </w:rPr>
      </w:pPr>
      <w:r w:rsidRPr="007853EE">
        <w:rPr>
          <w:rFonts w:ascii="Times New Roman" w:hAnsi="Times New Roman"/>
          <w:b/>
          <w:bCs/>
        </w:rPr>
        <w:t>Course Code</w:t>
      </w:r>
      <w:r w:rsidRPr="007853EE">
        <w:rPr>
          <w:rFonts w:ascii="Times New Roman" w:hAnsi="Times New Roman"/>
          <w:b/>
          <w:bCs/>
        </w:rPr>
        <w:tab/>
        <w:t>:</w:t>
      </w:r>
      <w:r w:rsidRPr="007853EE">
        <w:rPr>
          <w:rFonts w:ascii="Times New Roman" w:hAnsi="Times New Roman"/>
          <w:b/>
          <w:bCs/>
        </w:rPr>
        <w:tab/>
        <w:t>COMB 643</w:t>
      </w:r>
    </w:p>
    <w:p w:rsidR="00771389" w:rsidRPr="007853EE" w:rsidRDefault="00771389" w:rsidP="00771389">
      <w:pPr>
        <w:jc w:val="both"/>
        <w:rPr>
          <w:rFonts w:ascii="Times New Roman" w:hAnsi="Times New Roman"/>
          <w:bCs/>
        </w:rPr>
      </w:pPr>
      <w:r w:rsidRPr="007853EE">
        <w:rPr>
          <w:rFonts w:ascii="Times New Roman" w:hAnsi="Times New Roman"/>
          <w:bCs/>
        </w:rPr>
        <w:t>Credit Hours</w:t>
      </w:r>
      <w:r w:rsidRPr="007853EE">
        <w:rPr>
          <w:rFonts w:ascii="Times New Roman" w:hAnsi="Times New Roman"/>
          <w:bCs/>
        </w:rPr>
        <w:tab/>
        <w:t xml:space="preserve">: </w:t>
      </w:r>
      <w:r w:rsidRPr="007853EE">
        <w:rPr>
          <w:rFonts w:ascii="Times New Roman" w:hAnsi="Times New Roman"/>
          <w:bCs/>
        </w:rPr>
        <w:tab/>
        <w:t>03</w:t>
      </w:r>
    </w:p>
    <w:p w:rsidR="00771389" w:rsidRPr="007853EE" w:rsidRDefault="00771389" w:rsidP="00771389">
      <w:pPr>
        <w:jc w:val="both"/>
        <w:rPr>
          <w:rFonts w:ascii="Times New Roman" w:hAnsi="Times New Roman"/>
          <w:bCs/>
        </w:rPr>
      </w:pPr>
      <w:r w:rsidRPr="007853EE">
        <w:rPr>
          <w:rFonts w:ascii="Times New Roman" w:hAnsi="Times New Roman"/>
          <w:bCs/>
        </w:rPr>
        <w:t>Total Weeks</w:t>
      </w:r>
      <w:r w:rsidRPr="007853EE">
        <w:rPr>
          <w:rFonts w:ascii="Times New Roman" w:hAnsi="Times New Roman"/>
          <w:bCs/>
        </w:rPr>
        <w:tab/>
        <w:t xml:space="preserve">: </w:t>
      </w:r>
      <w:r w:rsidRPr="007853EE">
        <w:rPr>
          <w:rFonts w:ascii="Times New Roman" w:hAnsi="Times New Roman"/>
          <w:bCs/>
        </w:rPr>
        <w:tab/>
        <w:t>16</w:t>
      </w:r>
    </w:p>
    <w:p w:rsidR="00771389" w:rsidRPr="007853EE" w:rsidRDefault="00771389" w:rsidP="00771389">
      <w:pPr>
        <w:jc w:val="both"/>
        <w:rPr>
          <w:rFonts w:ascii="Times New Roman" w:hAnsi="Times New Roman"/>
          <w:bCs/>
        </w:rPr>
      </w:pPr>
      <w:r w:rsidRPr="007853EE">
        <w:rPr>
          <w:rFonts w:ascii="Times New Roman" w:hAnsi="Times New Roman"/>
          <w:bCs/>
        </w:rPr>
        <w:t>Total Hours</w:t>
      </w:r>
      <w:r w:rsidRPr="007853EE">
        <w:rPr>
          <w:rFonts w:ascii="Times New Roman" w:hAnsi="Times New Roman"/>
          <w:bCs/>
        </w:rPr>
        <w:tab/>
        <w:t xml:space="preserve">: </w:t>
      </w:r>
      <w:r w:rsidRPr="007853EE">
        <w:rPr>
          <w:rFonts w:ascii="Times New Roman" w:hAnsi="Times New Roman"/>
          <w:bCs/>
        </w:rPr>
        <w:tab/>
        <w:t xml:space="preserve">48 </w:t>
      </w:r>
    </w:p>
    <w:p w:rsidR="00771389" w:rsidRDefault="00771389" w:rsidP="00771389">
      <w:pPr>
        <w:jc w:val="both"/>
        <w:rPr>
          <w:rFonts w:ascii="Times New Roman" w:hAnsi="Times New Roman"/>
          <w:b/>
          <w:bCs/>
        </w:rPr>
      </w:pPr>
    </w:p>
    <w:p w:rsidR="00771389" w:rsidRPr="007853EE" w:rsidRDefault="00771389" w:rsidP="00771389">
      <w:pPr>
        <w:jc w:val="both"/>
        <w:rPr>
          <w:rFonts w:ascii="Times New Roman" w:hAnsi="Times New Roman"/>
          <w:b/>
          <w:bCs/>
        </w:rPr>
      </w:pPr>
      <w:r w:rsidRPr="007853EE">
        <w:rPr>
          <w:rFonts w:ascii="Times New Roman" w:hAnsi="Times New Roman"/>
          <w:b/>
          <w:bCs/>
        </w:rPr>
        <w:t>Course Objectives:</w:t>
      </w:r>
    </w:p>
    <w:p w:rsidR="00771389" w:rsidRPr="007853EE" w:rsidRDefault="00771389" w:rsidP="00771389">
      <w:pPr>
        <w:jc w:val="both"/>
        <w:rPr>
          <w:rFonts w:ascii="Times New Roman" w:hAnsi="Times New Roman"/>
          <w:bCs/>
        </w:rPr>
      </w:pPr>
      <w:r w:rsidRPr="007853EE">
        <w:rPr>
          <w:rFonts w:ascii="Times New Roman" w:hAnsi="Times New Roman"/>
          <w:bCs/>
        </w:rPr>
        <w:t xml:space="preserve">This course is designed to provide a good understanding of the field of investment, while stimulating interest in the subject. This understanding is quite valuable because students must make various investment decisions during our lifetimes. The basic purpose of this course is to enhance the knowledge of students regarding understanding investment opportunities, making good investment decisions and recognizing where investment problems and controversies arise and knowing how to deal with them. </w:t>
      </w:r>
    </w:p>
    <w:p w:rsidR="00771389" w:rsidRPr="007853EE" w:rsidRDefault="00771389" w:rsidP="00771389">
      <w:pPr>
        <w:jc w:val="both"/>
        <w:rPr>
          <w:rFonts w:ascii="Times New Roman" w:hAnsi="Times New Roman"/>
          <w:bCs/>
        </w:rPr>
      </w:pP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w:t>
      </w:r>
      <w:r w:rsidRPr="007853EE">
        <w:rPr>
          <w:rFonts w:ascii="Times New Roman" w:hAnsi="Times New Roman"/>
          <w:bCs/>
        </w:rPr>
        <w:tab/>
        <w:t xml:space="preserve">Introduction; The Nature and Meaning of Investments; Financial in Economic Concept of Investment; Characteristics of Investment;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 xml:space="preserve">Week 2 </w:t>
      </w:r>
      <w:r w:rsidRPr="007853EE">
        <w:rPr>
          <w:rFonts w:ascii="Times New Roman" w:hAnsi="Times New Roman"/>
          <w:bCs/>
        </w:rPr>
        <w:tab/>
        <w:t xml:space="preserve">Objectives of Investment; Investment Vs Speculation; Investment Vs Gambling;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 xml:space="preserve">Week 3 </w:t>
      </w:r>
      <w:r w:rsidRPr="007853EE">
        <w:rPr>
          <w:rFonts w:ascii="Times New Roman" w:hAnsi="Times New Roman"/>
          <w:bCs/>
        </w:rPr>
        <w:tab/>
        <w:t xml:space="preserve">Types of Investors; Individual and Institutional Investors; Investment Avenues;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4</w:t>
      </w:r>
      <w:r w:rsidRPr="007853EE">
        <w:rPr>
          <w:rFonts w:ascii="Times New Roman" w:hAnsi="Times New Roman"/>
          <w:bCs/>
        </w:rPr>
        <w:tab/>
        <w:t xml:space="preserve">Introduction to Portfolio Management; Phases of Portfolio Management; Security Analysis; Portfolio Analysis; Portfolio Selection;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5</w:t>
      </w:r>
      <w:r w:rsidRPr="007853EE">
        <w:rPr>
          <w:rFonts w:ascii="Times New Roman" w:hAnsi="Times New Roman"/>
          <w:bCs/>
        </w:rPr>
        <w:tab/>
        <w:t xml:space="preserve">Portfolio Revision; Portfolio Evaluation; Evolution of Portfolio Management; Historical Facts;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6</w:t>
      </w:r>
      <w:r w:rsidRPr="007853EE">
        <w:rPr>
          <w:rFonts w:ascii="Times New Roman" w:hAnsi="Times New Roman"/>
          <w:bCs/>
        </w:rPr>
        <w:tab/>
        <w:t xml:space="preserve">Phases of Evolution; Speculative Phase; Phase of Professionalism; Scientific Phase; Role of Portfolio Management;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7</w:t>
      </w:r>
      <w:r w:rsidRPr="007853EE">
        <w:rPr>
          <w:rFonts w:ascii="Times New Roman" w:hAnsi="Times New Roman"/>
          <w:bCs/>
        </w:rPr>
        <w:tab/>
        <w:t xml:space="preserve">Investment and Risk; Meaning of Risk; Elements of Risk; Systematic Risk; Interest Rate Risk; Market Risk; Purchasing Power Risk;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8</w:t>
      </w:r>
      <w:r w:rsidRPr="007853EE">
        <w:rPr>
          <w:rFonts w:ascii="Times New Roman" w:hAnsi="Times New Roman"/>
          <w:bCs/>
        </w:rPr>
        <w:tab/>
        <w:t xml:space="preserve">Unsystematic Risk; Business Risk; Financial Risk;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9</w:t>
      </w:r>
      <w:r w:rsidRPr="007853EE">
        <w:rPr>
          <w:rFonts w:ascii="Times New Roman" w:hAnsi="Times New Roman"/>
          <w:bCs/>
        </w:rPr>
        <w:tab/>
        <w:t xml:space="preserve">Fundamental Analysis; The Concept of Fundamental Analysis; Economy – Industry – Company Analysis Frame Work;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10</w:t>
      </w:r>
      <w:r w:rsidRPr="007853EE">
        <w:rPr>
          <w:rFonts w:ascii="Times New Roman" w:hAnsi="Times New Roman"/>
          <w:bCs/>
        </w:rPr>
        <w:tab/>
        <w:t xml:space="preserve">Economy Analysis; Growth Rates of National Income; Interest Rates; Government Revenue, Expenditure and Deficit; Exchange Rates; Infrastructure; Economic and Political Stability; Economic Forecasting;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11</w:t>
      </w:r>
      <w:r w:rsidRPr="007853EE">
        <w:rPr>
          <w:rFonts w:ascii="Times New Roman" w:hAnsi="Times New Roman"/>
          <w:bCs/>
        </w:rPr>
        <w:tab/>
        <w:t xml:space="preserve">Industry and Company Analysis; Industry Analysis; Industry Life Cycle; Stages of Industry Analysis;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12</w:t>
      </w:r>
      <w:r w:rsidRPr="007853EE">
        <w:rPr>
          <w:rFonts w:ascii="Times New Roman" w:hAnsi="Times New Roman"/>
          <w:bCs/>
        </w:rPr>
        <w:tab/>
        <w:t xml:space="preserve">Industry Characteristics; Demand Supply Gap; Competitive Conditions in the Industry; Performance Labour Condition; Attitude of Government; Supply of Raw Materials; Cost Structure;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13</w:t>
      </w:r>
      <w:r w:rsidRPr="007853EE">
        <w:rPr>
          <w:rFonts w:ascii="Times New Roman" w:hAnsi="Times New Roman"/>
          <w:bCs/>
        </w:rPr>
        <w:tab/>
        <w:t xml:space="preserve">Company Analysis; The Concept of Company Analysis; Financial Statement; Analysis and Interpretation of Financial Statements;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14</w:t>
      </w:r>
      <w:r w:rsidRPr="007853EE">
        <w:rPr>
          <w:rFonts w:ascii="Times New Roman" w:hAnsi="Times New Roman"/>
          <w:bCs/>
        </w:rPr>
        <w:tab/>
        <w:t xml:space="preserve">Stock Exchange; Definition; Functions; Advantages and Disadvantages;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15</w:t>
      </w:r>
      <w:r w:rsidRPr="007853EE">
        <w:rPr>
          <w:rFonts w:ascii="Times New Roman" w:hAnsi="Times New Roman"/>
          <w:bCs/>
        </w:rPr>
        <w:tab/>
        <w:t xml:space="preserve">Procedure of dealings on Stock Exchange; Broker; Order; Contract; Communication; Settlement;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16</w:t>
      </w:r>
      <w:r w:rsidRPr="007853EE">
        <w:rPr>
          <w:rFonts w:ascii="Times New Roman" w:hAnsi="Times New Roman"/>
          <w:bCs/>
        </w:rPr>
        <w:tab/>
        <w:t xml:space="preserve">Buyer and Sellers of Securities; Types of Speculators; Causes of Fluctuation in Security Prices; Types of Orders; Pakistan’s Stock Market </w:t>
      </w:r>
    </w:p>
    <w:p w:rsidR="00771389" w:rsidRDefault="00771389" w:rsidP="00771389">
      <w:pPr>
        <w:jc w:val="both"/>
        <w:rPr>
          <w:rFonts w:ascii="Times New Roman" w:hAnsi="Times New Roman"/>
          <w:b/>
          <w:bCs/>
        </w:rPr>
      </w:pPr>
    </w:p>
    <w:p w:rsidR="00771389" w:rsidRPr="007853EE" w:rsidRDefault="00771389" w:rsidP="00771389">
      <w:pPr>
        <w:jc w:val="both"/>
        <w:rPr>
          <w:rFonts w:ascii="Times New Roman" w:hAnsi="Times New Roman"/>
          <w:b/>
          <w:bCs/>
        </w:rPr>
      </w:pPr>
      <w:r w:rsidRPr="007853EE">
        <w:rPr>
          <w:rFonts w:ascii="Times New Roman" w:hAnsi="Times New Roman"/>
          <w:b/>
          <w:bCs/>
        </w:rPr>
        <w:t>Recommended Texts:</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lastRenderedPageBreak/>
        <w:t xml:space="preserve">Bob Litterman, Q. R. (2011). </w:t>
      </w:r>
      <w:r w:rsidRPr="007853EE">
        <w:rPr>
          <w:rFonts w:ascii="Times New Roman" w:hAnsi="Times New Roman"/>
          <w:i/>
          <w:iCs/>
          <w:noProof/>
          <w:sz w:val="24"/>
          <w:szCs w:val="24"/>
        </w:rPr>
        <w:t>Modern Investment Management: An Equilibrium Approach,</w:t>
      </w:r>
      <w:r w:rsidRPr="007853EE">
        <w:rPr>
          <w:rFonts w:ascii="Times New Roman" w:hAnsi="Times New Roman"/>
          <w:noProof/>
          <w:sz w:val="24"/>
          <w:szCs w:val="24"/>
        </w:rPr>
        <w:t xml:space="preserve"> (9</w:t>
      </w:r>
      <w:r w:rsidRPr="007853EE">
        <w:rPr>
          <w:rFonts w:ascii="Times New Roman" w:hAnsi="Times New Roman"/>
          <w:noProof/>
          <w:sz w:val="24"/>
          <w:szCs w:val="24"/>
          <w:vertAlign w:val="superscript"/>
        </w:rPr>
        <w:t>th</w:t>
      </w:r>
      <w:r w:rsidRPr="007853EE">
        <w:rPr>
          <w:rFonts w:ascii="Times New Roman" w:hAnsi="Times New Roman"/>
          <w:noProof/>
          <w:sz w:val="24"/>
          <w:szCs w:val="24"/>
        </w:rPr>
        <w:t xml:space="preserve"> Edition). New York: John Wiley &amp; Sons.</w:t>
      </w:r>
    </w:p>
    <w:p w:rsidR="00771389" w:rsidRPr="007853EE" w:rsidRDefault="00771389" w:rsidP="00771389">
      <w:pPr>
        <w:tabs>
          <w:tab w:val="left" w:pos="0"/>
        </w:tabs>
        <w:suppressAutoHyphens/>
        <w:ind w:left="711" w:hangingChars="300" w:hanging="711"/>
        <w:jc w:val="both"/>
        <w:rPr>
          <w:rFonts w:ascii="Times New Roman" w:hAnsi="Times New Roman"/>
          <w:bCs/>
          <w:spacing w:val="-3"/>
        </w:rPr>
      </w:pPr>
      <w:r w:rsidRPr="007853EE">
        <w:rPr>
          <w:rFonts w:ascii="Times New Roman" w:hAnsi="Times New Roman"/>
          <w:bCs/>
          <w:spacing w:val="-3"/>
        </w:rPr>
        <w:t xml:space="preserve">Jones,  C. P. (2012). </w:t>
      </w:r>
      <w:r w:rsidRPr="007853EE">
        <w:rPr>
          <w:rFonts w:ascii="Times New Roman" w:hAnsi="Times New Roman"/>
          <w:bCs/>
          <w:i/>
          <w:spacing w:val="-3"/>
        </w:rPr>
        <w:t xml:space="preserve"> Investment: Analysis And Management</w:t>
      </w:r>
      <w:r>
        <w:rPr>
          <w:rFonts w:ascii="Times New Roman" w:hAnsi="Times New Roman"/>
          <w:bCs/>
          <w:i/>
          <w:spacing w:val="-3"/>
        </w:rPr>
        <w:t xml:space="preserve">, </w:t>
      </w:r>
      <w:r>
        <w:rPr>
          <w:rFonts w:ascii="Times New Roman" w:hAnsi="Times New Roman"/>
          <w:bCs/>
          <w:spacing w:val="-3"/>
        </w:rPr>
        <w:t>(12</w:t>
      </w:r>
      <w:r w:rsidRPr="00664014">
        <w:rPr>
          <w:rFonts w:ascii="Times New Roman" w:hAnsi="Times New Roman"/>
          <w:bCs/>
          <w:spacing w:val="-3"/>
          <w:vertAlign w:val="superscript"/>
        </w:rPr>
        <w:t>th</w:t>
      </w:r>
      <w:r>
        <w:rPr>
          <w:rFonts w:ascii="Times New Roman" w:hAnsi="Times New Roman"/>
          <w:bCs/>
          <w:spacing w:val="-3"/>
        </w:rPr>
        <w:t xml:space="preserve"> </w:t>
      </w:r>
      <w:r w:rsidRPr="007853EE">
        <w:rPr>
          <w:rFonts w:ascii="Times New Roman" w:hAnsi="Times New Roman"/>
          <w:bCs/>
          <w:spacing w:val="-3"/>
        </w:rPr>
        <w:t>Edition). Jon Wiley and Sons.</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Frank, J. Fabozzi, H. M. (2013). </w:t>
      </w:r>
      <w:r w:rsidRPr="007853EE">
        <w:rPr>
          <w:rFonts w:ascii="Times New Roman" w:hAnsi="Times New Roman"/>
          <w:i/>
          <w:iCs/>
          <w:noProof/>
          <w:sz w:val="24"/>
          <w:szCs w:val="24"/>
        </w:rPr>
        <w:t>The Theory and Practice of Investment Management: Asset Allocation, Valuation, Portfolio Construction, and Strategies,</w:t>
      </w:r>
      <w:r w:rsidRPr="007853EE">
        <w:rPr>
          <w:rFonts w:ascii="Times New Roman" w:hAnsi="Times New Roman"/>
          <w:noProof/>
          <w:sz w:val="24"/>
          <w:szCs w:val="24"/>
        </w:rPr>
        <w:t xml:space="preserve"> (10</w:t>
      </w:r>
      <w:r w:rsidRPr="007853EE">
        <w:rPr>
          <w:rFonts w:ascii="Times New Roman" w:hAnsi="Times New Roman"/>
          <w:noProof/>
          <w:sz w:val="24"/>
          <w:szCs w:val="24"/>
          <w:vertAlign w:val="superscript"/>
        </w:rPr>
        <w:t>th</w:t>
      </w:r>
      <w:r w:rsidRPr="007853EE">
        <w:rPr>
          <w:rFonts w:ascii="Times New Roman" w:hAnsi="Times New Roman"/>
          <w:noProof/>
          <w:sz w:val="24"/>
          <w:szCs w:val="24"/>
        </w:rPr>
        <w:t xml:space="preserve"> Edition). New York: John Wiley &amp; Sons.</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Hagin, R. L. (2010). </w:t>
      </w:r>
      <w:r w:rsidRPr="007853EE">
        <w:rPr>
          <w:rFonts w:ascii="Times New Roman" w:hAnsi="Times New Roman"/>
          <w:i/>
          <w:iCs/>
          <w:noProof/>
          <w:sz w:val="24"/>
          <w:szCs w:val="24"/>
        </w:rPr>
        <w:t>Investment Management: Portfolio Diversification, Risk, and Timing--Fact and Fiction,</w:t>
      </w:r>
      <w:r w:rsidRPr="007853EE">
        <w:rPr>
          <w:rFonts w:ascii="Times New Roman" w:hAnsi="Times New Roman"/>
          <w:noProof/>
          <w:sz w:val="24"/>
          <w:szCs w:val="24"/>
        </w:rPr>
        <w:t xml:space="preserve"> (3</w:t>
      </w:r>
      <w:r w:rsidRPr="007853EE">
        <w:rPr>
          <w:rFonts w:ascii="Times New Roman" w:hAnsi="Times New Roman"/>
          <w:noProof/>
          <w:sz w:val="24"/>
          <w:szCs w:val="24"/>
          <w:vertAlign w:val="superscript"/>
        </w:rPr>
        <w:t>rd</w:t>
      </w:r>
      <w:r w:rsidRPr="007853EE">
        <w:rPr>
          <w:rFonts w:ascii="Times New Roman" w:hAnsi="Times New Roman"/>
          <w:noProof/>
          <w:sz w:val="24"/>
          <w:szCs w:val="24"/>
        </w:rPr>
        <w:t xml:space="preserve"> Edition). New York: John Wiley &amp; Sons.</w:t>
      </w:r>
    </w:p>
    <w:p w:rsidR="00771389" w:rsidRPr="007853EE" w:rsidRDefault="00771389" w:rsidP="00771389">
      <w:pPr>
        <w:pStyle w:val="Bibliography"/>
        <w:spacing w:after="0" w:line="240" w:lineRule="auto"/>
        <w:ind w:left="720" w:hanging="720"/>
        <w:jc w:val="both"/>
        <w:rPr>
          <w:rFonts w:ascii="Times New Roman" w:hAnsi="Times New Roman"/>
          <w:bCs/>
          <w:spacing w:val="-3"/>
          <w:sz w:val="24"/>
          <w:szCs w:val="24"/>
        </w:rPr>
      </w:pPr>
      <w:r w:rsidRPr="007853EE">
        <w:rPr>
          <w:rFonts w:ascii="Times New Roman" w:hAnsi="Times New Roman"/>
          <w:bCs/>
          <w:spacing w:val="-3"/>
          <w:sz w:val="24"/>
          <w:szCs w:val="24"/>
        </w:rPr>
        <w:t xml:space="preserve">Jones, C. P. ( 2012). </w:t>
      </w:r>
      <w:r w:rsidRPr="007853EE">
        <w:rPr>
          <w:rFonts w:ascii="Times New Roman" w:hAnsi="Times New Roman"/>
          <w:bCs/>
          <w:i/>
          <w:spacing w:val="-3"/>
          <w:sz w:val="24"/>
          <w:szCs w:val="24"/>
        </w:rPr>
        <w:t xml:space="preserve"> Investment: Analysis And Management </w:t>
      </w:r>
      <w:r w:rsidRPr="007853EE">
        <w:rPr>
          <w:rFonts w:ascii="Times New Roman" w:hAnsi="Times New Roman"/>
          <w:bCs/>
          <w:spacing w:val="-3"/>
          <w:sz w:val="24"/>
          <w:szCs w:val="24"/>
        </w:rPr>
        <w:t>(12</w:t>
      </w:r>
      <w:r w:rsidRPr="007853EE">
        <w:rPr>
          <w:rFonts w:ascii="Times New Roman" w:hAnsi="Times New Roman"/>
          <w:bCs/>
          <w:spacing w:val="-3"/>
          <w:sz w:val="24"/>
          <w:szCs w:val="24"/>
          <w:vertAlign w:val="superscript"/>
        </w:rPr>
        <w:t>th</w:t>
      </w:r>
      <w:r w:rsidRPr="007853EE">
        <w:rPr>
          <w:rFonts w:ascii="Times New Roman" w:hAnsi="Times New Roman"/>
          <w:bCs/>
          <w:spacing w:val="-3"/>
          <w:sz w:val="24"/>
          <w:szCs w:val="24"/>
        </w:rPr>
        <w:t xml:space="preserve"> Edition). Jon Wiley and Sons.</w:t>
      </w:r>
    </w:p>
    <w:p w:rsidR="00771389" w:rsidRPr="007853EE" w:rsidRDefault="00771389" w:rsidP="00771389">
      <w:pPr>
        <w:tabs>
          <w:tab w:val="left" w:pos="0"/>
        </w:tabs>
        <w:suppressAutoHyphens/>
        <w:ind w:left="711" w:hangingChars="300" w:hanging="711"/>
        <w:jc w:val="both"/>
        <w:rPr>
          <w:rFonts w:ascii="Times New Roman" w:hAnsi="Times New Roman"/>
          <w:bCs/>
          <w:spacing w:val="-3"/>
        </w:rPr>
      </w:pPr>
      <w:r w:rsidRPr="007853EE">
        <w:rPr>
          <w:rFonts w:ascii="Times New Roman" w:hAnsi="Times New Roman"/>
          <w:bCs/>
          <w:spacing w:val="-3"/>
        </w:rPr>
        <w:t>Bhalla ,V.K. (2008</w:t>
      </w:r>
      <w:r w:rsidRPr="007853EE">
        <w:rPr>
          <w:rFonts w:ascii="Times New Roman" w:hAnsi="Times New Roman"/>
          <w:bCs/>
          <w:i/>
          <w:spacing w:val="-3"/>
        </w:rPr>
        <w:t>). Investment Management</w:t>
      </w:r>
      <w:r w:rsidRPr="007853EE">
        <w:rPr>
          <w:rFonts w:ascii="Times New Roman" w:hAnsi="Times New Roman"/>
          <w:bCs/>
          <w:spacing w:val="-3"/>
        </w:rPr>
        <w:t>.</w:t>
      </w:r>
      <w:r>
        <w:rPr>
          <w:rFonts w:ascii="Times New Roman" w:hAnsi="Times New Roman"/>
          <w:bCs/>
          <w:spacing w:val="-3"/>
        </w:rPr>
        <w:t xml:space="preserve"> </w:t>
      </w:r>
      <w:r w:rsidRPr="007853EE">
        <w:rPr>
          <w:rFonts w:ascii="Times New Roman" w:hAnsi="Times New Roman"/>
          <w:bCs/>
          <w:spacing w:val="-3"/>
        </w:rPr>
        <w:t>S</w:t>
      </w:r>
      <w:r>
        <w:rPr>
          <w:rFonts w:ascii="Times New Roman" w:hAnsi="Times New Roman"/>
          <w:bCs/>
          <w:spacing w:val="-3"/>
        </w:rPr>
        <w:t>.</w:t>
      </w:r>
      <w:r w:rsidRPr="007853EE">
        <w:rPr>
          <w:rFonts w:ascii="Times New Roman" w:hAnsi="Times New Roman"/>
          <w:bCs/>
          <w:spacing w:val="-3"/>
        </w:rPr>
        <w:t xml:space="preserve"> Chand Limited</w:t>
      </w:r>
      <w:r>
        <w:rPr>
          <w:rFonts w:ascii="Times New Roman" w:hAnsi="Times New Roman"/>
          <w:bCs/>
          <w:spacing w:val="-3"/>
        </w:rPr>
        <w:t>.</w:t>
      </w:r>
      <w:r w:rsidRPr="007853EE">
        <w:rPr>
          <w:rFonts w:ascii="Times New Roman" w:hAnsi="Times New Roman"/>
          <w:bCs/>
          <w:spacing w:val="-3"/>
        </w:rPr>
        <w:t xml:space="preserve"> </w:t>
      </w:r>
    </w:p>
    <w:p w:rsidR="00771389" w:rsidRPr="007853EE" w:rsidRDefault="00771389" w:rsidP="00771389">
      <w:pPr>
        <w:pStyle w:val="Bibliography"/>
        <w:spacing w:after="0" w:line="240" w:lineRule="auto"/>
        <w:ind w:left="720" w:hanging="720"/>
        <w:jc w:val="both"/>
        <w:rPr>
          <w:rFonts w:ascii="Times New Roman" w:hAnsi="Times New Roman"/>
          <w:bCs/>
          <w:spacing w:val="-3"/>
          <w:sz w:val="24"/>
          <w:szCs w:val="24"/>
        </w:rPr>
      </w:pPr>
      <w:r w:rsidRPr="007853EE">
        <w:rPr>
          <w:rFonts w:ascii="Times New Roman" w:hAnsi="Times New Roman"/>
          <w:bCs/>
          <w:spacing w:val="-3"/>
          <w:sz w:val="24"/>
          <w:szCs w:val="24"/>
        </w:rPr>
        <w:t xml:space="preserve">Karachi Stock Exchange (2004). </w:t>
      </w:r>
      <w:r w:rsidRPr="007853EE">
        <w:rPr>
          <w:rFonts w:ascii="Times New Roman" w:hAnsi="Times New Roman"/>
          <w:bCs/>
          <w:i/>
          <w:spacing w:val="-3"/>
          <w:sz w:val="24"/>
          <w:szCs w:val="24"/>
        </w:rPr>
        <w:t xml:space="preserve">Investors Guide. </w:t>
      </w:r>
      <w:r w:rsidRPr="007853EE">
        <w:rPr>
          <w:rFonts w:ascii="Times New Roman" w:hAnsi="Times New Roman"/>
          <w:bCs/>
          <w:spacing w:val="-3"/>
          <w:sz w:val="24"/>
          <w:szCs w:val="24"/>
        </w:rPr>
        <w:t xml:space="preserve">Karachi Stock Exchange and also available on Web Site </w:t>
      </w:r>
      <w:hyperlink r:id="rId4" w:history="1">
        <w:r w:rsidRPr="007853EE">
          <w:rPr>
            <w:rStyle w:val="Hyperlink"/>
            <w:rFonts w:ascii="Times New Roman" w:hAnsi="Times New Roman"/>
            <w:bCs/>
            <w:spacing w:val="-3"/>
            <w:sz w:val="24"/>
            <w:szCs w:val="24"/>
          </w:rPr>
          <w:t>www.kse.com.pk</w:t>
        </w:r>
      </w:hyperlink>
      <w:r w:rsidRPr="007853EE">
        <w:rPr>
          <w:rFonts w:ascii="Times New Roman" w:hAnsi="Times New Roman"/>
          <w:bCs/>
          <w:spacing w:val="-3"/>
          <w:sz w:val="24"/>
          <w:szCs w:val="24"/>
        </w:rPr>
        <w:t>.</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bCs/>
          <w:spacing w:val="-3"/>
          <w:sz w:val="24"/>
          <w:szCs w:val="24"/>
        </w:rPr>
        <w:t xml:space="preserve">Kevin, S. (2007). </w:t>
      </w:r>
      <w:r w:rsidRPr="007853EE">
        <w:rPr>
          <w:rFonts w:ascii="Times New Roman" w:hAnsi="Times New Roman"/>
          <w:bCs/>
          <w:i/>
          <w:spacing w:val="-3"/>
          <w:sz w:val="24"/>
          <w:szCs w:val="24"/>
        </w:rPr>
        <w:t>Portfolio Management</w:t>
      </w:r>
      <w:r>
        <w:rPr>
          <w:rFonts w:ascii="Times New Roman" w:hAnsi="Times New Roman"/>
          <w:bCs/>
          <w:spacing w:val="-3"/>
          <w:sz w:val="24"/>
          <w:szCs w:val="24"/>
        </w:rPr>
        <w:t xml:space="preserve">. </w:t>
      </w:r>
      <w:r w:rsidRPr="007853EE">
        <w:rPr>
          <w:rFonts w:ascii="Times New Roman" w:hAnsi="Times New Roman"/>
          <w:bCs/>
          <w:spacing w:val="-3"/>
          <w:sz w:val="24"/>
          <w:szCs w:val="24"/>
        </w:rPr>
        <w:t>New Delhi</w:t>
      </w:r>
      <w:r>
        <w:rPr>
          <w:rFonts w:ascii="Times New Roman" w:hAnsi="Times New Roman"/>
          <w:bCs/>
          <w:spacing w:val="-3"/>
          <w:sz w:val="24"/>
          <w:szCs w:val="24"/>
        </w:rPr>
        <w:t>: Prentice-Hall</w:t>
      </w:r>
      <w:r w:rsidRPr="007853EE">
        <w:rPr>
          <w:rFonts w:ascii="Times New Roman" w:hAnsi="Times New Roman"/>
          <w:bCs/>
          <w:spacing w:val="-3"/>
          <w:sz w:val="24"/>
          <w:szCs w:val="24"/>
        </w:rPr>
        <w:t xml:space="preserve"> of India Pvt. </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Maheshwari, Y. (2010). </w:t>
      </w:r>
      <w:r w:rsidRPr="007853EE">
        <w:rPr>
          <w:rFonts w:ascii="Times New Roman" w:hAnsi="Times New Roman"/>
          <w:i/>
          <w:iCs/>
          <w:noProof/>
          <w:sz w:val="24"/>
          <w:szCs w:val="24"/>
        </w:rPr>
        <w:t>Investment Management,</w:t>
      </w:r>
      <w:r w:rsidRPr="007853EE">
        <w:rPr>
          <w:rFonts w:ascii="Times New Roman" w:hAnsi="Times New Roman"/>
          <w:noProof/>
          <w:sz w:val="24"/>
          <w:szCs w:val="24"/>
        </w:rPr>
        <w:t xml:space="preserve"> (8</w:t>
      </w:r>
      <w:r w:rsidRPr="007853EE">
        <w:rPr>
          <w:rFonts w:ascii="Times New Roman" w:hAnsi="Times New Roman"/>
          <w:noProof/>
          <w:sz w:val="24"/>
          <w:szCs w:val="24"/>
          <w:vertAlign w:val="superscript"/>
        </w:rPr>
        <w:t>th</w:t>
      </w:r>
      <w:r w:rsidRPr="007853EE">
        <w:rPr>
          <w:rFonts w:ascii="Times New Roman" w:hAnsi="Times New Roman"/>
          <w:noProof/>
          <w:sz w:val="24"/>
          <w:szCs w:val="24"/>
        </w:rPr>
        <w:t xml:space="preserve"> Edition). Pheonix: PHI Learning Pvt. Ltd.</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Stevenson, T. H. (2010). </w:t>
      </w:r>
      <w:r w:rsidRPr="007853EE">
        <w:rPr>
          <w:rFonts w:ascii="Times New Roman" w:hAnsi="Times New Roman"/>
          <w:i/>
          <w:iCs/>
          <w:noProof/>
          <w:sz w:val="24"/>
          <w:szCs w:val="24"/>
        </w:rPr>
        <w:t>Investment Management: A Practical Approach for Financial Institutions,</w:t>
      </w:r>
      <w:r w:rsidRPr="007853EE">
        <w:rPr>
          <w:rFonts w:ascii="Times New Roman" w:hAnsi="Times New Roman"/>
          <w:noProof/>
          <w:sz w:val="24"/>
          <w:szCs w:val="24"/>
        </w:rPr>
        <w:t xml:space="preserve"> (9</w:t>
      </w:r>
      <w:r w:rsidRPr="007853EE">
        <w:rPr>
          <w:rFonts w:ascii="Times New Roman" w:hAnsi="Times New Roman"/>
          <w:noProof/>
          <w:sz w:val="24"/>
          <w:szCs w:val="24"/>
          <w:vertAlign w:val="superscript"/>
        </w:rPr>
        <w:t>th</w:t>
      </w:r>
      <w:r w:rsidRPr="007853EE">
        <w:rPr>
          <w:rFonts w:ascii="Times New Roman" w:hAnsi="Times New Roman"/>
          <w:noProof/>
          <w:sz w:val="24"/>
          <w:szCs w:val="24"/>
        </w:rPr>
        <w:t xml:space="preserve"> Edition). Pennsylvania: Bankers Publishing Company.</w:t>
      </w:r>
    </w:p>
    <w:p w:rsidR="00771389" w:rsidRPr="007853EE" w:rsidRDefault="00771389" w:rsidP="00771389">
      <w:pPr>
        <w:jc w:val="both"/>
        <w:rPr>
          <w:rFonts w:ascii="Times New Roman" w:hAnsi="Times New Roman"/>
          <w:bCs/>
        </w:rPr>
      </w:pPr>
      <w:r w:rsidRPr="007853EE">
        <w:rPr>
          <w:rFonts w:ascii="Times New Roman" w:hAnsi="Times New Roman"/>
          <w:bCs/>
        </w:rPr>
        <w:t xml:space="preserve">Winfield, R.G., &amp; Curry, S.J. (2008). </w:t>
      </w:r>
      <w:r>
        <w:rPr>
          <w:rFonts w:ascii="Times New Roman" w:hAnsi="Times New Roman"/>
          <w:bCs/>
          <w:i/>
        </w:rPr>
        <w:t xml:space="preserve">Success in investment. </w:t>
      </w:r>
      <w:r w:rsidRPr="00EB4A44">
        <w:rPr>
          <w:rFonts w:ascii="Times New Roman" w:hAnsi="Times New Roman"/>
          <w:bCs/>
        </w:rPr>
        <w:t>J</w:t>
      </w:r>
      <w:r w:rsidRPr="007853EE">
        <w:rPr>
          <w:rFonts w:ascii="Times New Roman" w:hAnsi="Times New Roman"/>
          <w:bCs/>
        </w:rPr>
        <w:t>ohn Murrry Publishers Ltd.</w:t>
      </w:r>
    </w:p>
    <w:p w:rsidR="00771389" w:rsidRPr="007853EE" w:rsidRDefault="00771389" w:rsidP="00771389">
      <w:pPr>
        <w:pStyle w:val="Heading2"/>
        <w:rPr>
          <w:rFonts w:ascii="Times New Roman" w:hAnsi="Times New Roman" w:cs="Times New Roman"/>
          <w:color w:val="auto"/>
          <w:sz w:val="24"/>
          <w:szCs w:val="24"/>
        </w:rPr>
      </w:pPr>
      <w:bookmarkStart w:id="1" w:name="_Toc412017495"/>
      <w:r w:rsidRPr="007853EE">
        <w:rPr>
          <w:rFonts w:ascii="Times New Roman" w:hAnsi="Times New Roman" w:cs="Times New Roman"/>
          <w:color w:val="auto"/>
          <w:sz w:val="24"/>
          <w:szCs w:val="24"/>
        </w:rPr>
        <w:t xml:space="preserve">Course Title </w:t>
      </w:r>
      <w:r w:rsidRPr="007853EE">
        <w:rPr>
          <w:rFonts w:ascii="Times New Roman" w:hAnsi="Times New Roman" w:cs="Times New Roman"/>
          <w:color w:val="auto"/>
          <w:sz w:val="24"/>
          <w:szCs w:val="24"/>
        </w:rPr>
        <w:tab/>
        <w:t>:</w:t>
      </w:r>
      <w:r w:rsidRPr="007853EE">
        <w:rPr>
          <w:rFonts w:ascii="Times New Roman" w:hAnsi="Times New Roman" w:cs="Times New Roman"/>
          <w:color w:val="auto"/>
          <w:sz w:val="24"/>
          <w:szCs w:val="24"/>
        </w:rPr>
        <w:tab/>
        <w:t>Financial Risk Management</w:t>
      </w:r>
      <w:bookmarkEnd w:id="1"/>
    </w:p>
    <w:p w:rsidR="00771389" w:rsidRPr="007853EE" w:rsidRDefault="00771389" w:rsidP="00771389">
      <w:pPr>
        <w:jc w:val="both"/>
        <w:rPr>
          <w:rFonts w:ascii="Times New Roman" w:hAnsi="Times New Roman"/>
          <w:b/>
          <w:bCs/>
        </w:rPr>
      </w:pPr>
      <w:r w:rsidRPr="007853EE">
        <w:rPr>
          <w:rFonts w:ascii="Times New Roman" w:hAnsi="Times New Roman"/>
          <w:b/>
          <w:bCs/>
        </w:rPr>
        <w:t xml:space="preserve">Course Code </w:t>
      </w:r>
      <w:r w:rsidRPr="007853EE">
        <w:rPr>
          <w:rFonts w:ascii="Times New Roman" w:hAnsi="Times New Roman"/>
          <w:b/>
          <w:bCs/>
        </w:rPr>
        <w:tab/>
        <w:t>:</w:t>
      </w:r>
      <w:r w:rsidRPr="007853EE">
        <w:rPr>
          <w:rFonts w:ascii="Times New Roman" w:hAnsi="Times New Roman"/>
          <w:b/>
          <w:bCs/>
        </w:rPr>
        <w:tab/>
        <w:t>COMB 644</w:t>
      </w:r>
    </w:p>
    <w:p w:rsidR="00771389" w:rsidRPr="007853EE" w:rsidRDefault="00771389" w:rsidP="00771389">
      <w:pPr>
        <w:jc w:val="both"/>
        <w:rPr>
          <w:rFonts w:ascii="Times New Roman" w:hAnsi="Times New Roman"/>
          <w:bCs/>
        </w:rPr>
      </w:pPr>
      <w:r w:rsidRPr="007853EE">
        <w:rPr>
          <w:rFonts w:ascii="Times New Roman" w:hAnsi="Times New Roman"/>
          <w:bCs/>
        </w:rPr>
        <w:t>Credit Hours</w:t>
      </w:r>
      <w:r w:rsidRPr="007853EE">
        <w:rPr>
          <w:rFonts w:ascii="Times New Roman" w:hAnsi="Times New Roman"/>
          <w:bCs/>
        </w:rPr>
        <w:tab/>
        <w:t>:</w:t>
      </w:r>
      <w:r w:rsidRPr="007853EE">
        <w:rPr>
          <w:rFonts w:ascii="Times New Roman" w:hAnsi="Times New Roman"/>
          <w:bCs/>
        </w:rPr>
        <w:tab/>
        <w:t>03</w:t>
      </w:r>
    </w:p>
    <w:p w:rsidR="00771389" w:rsidRPr="007853EE" w:rsidRDefault="00771389" w:rsidP="00771389">
      <w:pPr>
        <w:jc w:val="both"/>
        <w:rPr>
          <w:rFonts w:ascii="Times New Roman" w:hAnsi="Times New Roman"/>
          <w:bCs/>
        </w:rPr>
      </w:pPr>
      <w:r w:rsidRPr="007853EE">
        <w:rPr>
          <w:rFonts w:ascii="Times New Roman" w:hAnsi="Times New Roman"/>
          <w:bCs/>
        </w:rPr>
        <w:t>Total Weeks</w:t>
      </w:r>
      <w:r w:rsidRPr="007853EE">
        <w:rPr>
          <w:rFonts w:ascii="Times New Roman" w:hAnsi="Times New Roman"/>
          <w:bCs/>
        </w:rPr>
        <w:tab/>
        <w:t>:</w:t>
      </w:r>
      <w:r w:rsidRPr="007853EE">
        <w:rPr>
          <w:rFonts w:ascii="Times New Roman" w:hAnsi="Times New Roman"/>
          <w:bCs/>
        </w:rPr>
        <w:tab/>
        <w:t>16</w:t>
      </w:r>
    </w:p>
    <w:p w:rsidR="00771389" w:rsidRPr="007853EE" w:rsidRDefault="00771389" w:rsidP="00771389">
      <w:pPr>
        <w:jc w:val="both"/>
        <w:rPr>
          <w:rFonts w:ascii="Times New Roman" w:hAnsi="Times New Roman"/>
          <w:bCs/>
        </w:rPr>
      </w:pPr>
      <w:r w:rsidRPr="007853EE">
        <w:rPr>
          <w:rFonts w:ascii="Times New Roman" w:hAnsi="Times New Roman"/>
          <w:bCs/>
        </w:rPr>
        <w:t>Total Hours</w:t>
      </w:r>
      <w:r w:rsidRPr="007853EE">
        <w:rPr>
          <w:rFonts w:ascii="Times New Roman" w:hAnsi="Times New Roman"/>
          <w:bCs/>
        </w:rPr>
        <w:tab/>
        <w:t>:</w:t>
      </w:r>
      <w:r w:rsidRPr="007853EE">
        <w:rPr>
          <w:rFonts w:ascii="Times New Roman" w:hAnsi="Times New Roman"/>
          <w:bCs/>
        </w:rPr>
        <w:tab/>
        <w:t>48</w:t>
      </w:r>
    </w:p>
    <w:p w:rsidR="00771389" w:rsidRDefault="00771389" w:rsidP="00771389">
      <w:pPr>
        <w:autoSpaceDE w:val="0"/>
        <w:autoSpaceDN w:val="0"/>
        <w:adjustRightInd w:val="0"/>
        <w:jc w:val="both"/>
        <w:rPr>
          <w:rFonts w:ascii="Times New Roman" w:hAnsi="Times New Roman"/>
          <w:b/>
          <w:bCs/>
        </w:rPr>
      </w:pPr>
    </w:p>
    <w:p w:rsidR="00771389" w:rsidRPr="007853EE" w:rsidRDefault="00771389" w:rsidP="00771389">
      <w:pPr>
        <w:autoSpaceDE w:val="0"/>
        <w:autoSpaceDN w:val="0"/>
        <w:adjustRightInd w:val="0"/>
        <w:jc w:val="both"/>
        <w:rPr>
          <w:rFonts w:ascii="Times New Roman" w:hAnsi="Times New Roman"/>
          <w:b/>
          <w:bCs/>
        </w:rPr>
      </w:pPr>
      <w:r w:rsidRPr="007853EE">
        <w:rPr>
          <w:rFonts w:ascii="Times New Roman" w:hAnsi="Times New Roman"/>
          <w:b/>
          <w:bCs/>
        </w:rPr>
        <w:t>Course Objectives:</w:t>
      </w:r>
    </w:p>
    <w:p w:rsidR="00771389" w:rsidRPr="007853EE" w:rsidRDefault="00771389" w:rsidP="00771389">
      <w:pPr>
        <w:autoSpaceDE w:val="0"/>
        <w:autoSpaceDN w:val="0"/>
        <w:adjustRightInd w:val="0"/>
        <w:jc w:val="both"/>
        <w:rPr>
          <w:rFonts w:ascii="Times New Roman" w:hAnsi="Times New Roman"/>
        </w:rPr>
      </w:pPr>
      <w:r w:rsidRPr="007853EE">
        <w:rPr>
          <w:rFonts w:ascii="Times New Roman" w:hAnsi="Times New Roman"/>
        </w:rPr>
        <w:t>The course is designed to focuses on financial risk management to provide knowledge to students to understand theoretical, methodological and technical aspects of financial risk management. The students are expected to, (i) Understanding about the theoretical foundations of financial risk management, and (ii) Understand the methodological approaches to and common hazards of empirical archival research on financial risk management.</w:t>
      </w:r>
    </w:p>
    <w:p w:rsidR="00771389" w:rsidRPr="007853EE" w:rsidRDefault="00771389" w:rsidP="00771389">
      <w:pPr>
        <w:ind w:left="1440" w:hanging="1440"/>
        <w:jc w:val="both"/>
        <w:rPr>
          <w:rFonts w:ascii="Times New Roman" w:hAnsi="Times New Roman"/>
          <w:bCs/>
        </w:rPr>
      </w:pP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w:t>
      </w:r>
      <w:r w:rsidRPr="007853EE">
        <w:rPr>
          <w:rFonts w:ascii="Times New Roman" w:hAnsi="Times New Roman"/>
          <w:bCs/>
        </w:rPr>
        <w:tab/>
        <w:t xml:space="preserve">Introduction; Motivation for Risk Management; Why Risk Management;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2</w:t>
      </w:r>
      <w:r w:rsidRPr="007853EE">
        <w:rPr>
          <w:rFonts w:ascii="Times New Roman" w:hAnsi="Times New Roman"/>
          <w:bCs/>
        </w:rPr>
        <w:tab/>
        <w:t xml:space="preserve">Creating Value with Risk Management;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3</w:t>
      </w:r>
      <w:r w:rsidRPr="007853EE">
        <w:rPr>
          <w:rFonts w:ascii="Times New Roman" w:hAnsi="Times New Roman"/>
          <w:bCs/>
        </w:rPr>
        <w:tab/>
        <w:t xml:space="preserve">Find Risk and Return for an Asset and Portfolio;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4&amp;5</w:t>
      </w:r>
      <w:r w:rsidRPr="007853EE">
        <w:rPr>
          <w:rFonts w:ascii="Times New Roman" w:hAnsi="Times New Roman"/>
          <w:bCs/>
        </w:rPr>
        <w:tab/>
        <w:t xml:space="preserve">Financial Engineering; Derivative (Forwards, Futures, Swaps, Basic and Exotic Options);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6</w:t>
      </w:r>
      <w:r w:rsidRPr="007853EE">
        <w:rPr>
          <w:rFonts w:ascii="Times New Roman" w:hAnsi="Times New Roman"/>
          <w:bCs/>
        </w:rPr>
        <w:tab/>
        <w:t xml:space="preserve">Standard Hedging Techniques;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7&amp;8</w:t>
      </w:r>
      <w:r w:rsidRPr="007853EE">
        <w:rPr>
          <w:rFonts w:ascii="Times New Roman" w:hAnsi="Times New Roman"/>
          <w:bCs/>
        </w:rPr>
        <w:tab/>
        <w:t xml:space="preserve">Measuring Volatility; EWMA and GARCH Models; Implied and Realized Volatility;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9-11</w:t>
      </w:r>
      <w:r w:rsidRPr="007853EE">
        <w:rPr>
          <w:rFonts w:ascii="Times New Roman" w:hAnsi="Times New Roman"/>
          <w:bCs/>
        </w:rPr>
        <w:tab/>
        <w:t xml:space="preserve">Market Risk; VaR (Value at Risk) Measurement; </w:t>
      </w:r>
    </w:p>
    <w:p w:rsidR="00771389" w:rsidRPr="007853EE" w:rsidRDefault="00771389" w:rsidP="00771389">
      <w:pPr>
        <w:ind w:left="1440" w:hanging="1440"/>
        <w:jc w:val="both"/>
        <w:rPr>
          <w:rFonts w:ascii="Times New Roman" w:hAnsi="Times New Roman"/>
          <w:bCs/>
        </w:rPr>
      </w:pPr>
      <w:r w:rsidRPr="007853EE">
        <w:rPr>
          <w:rFonts w:ascii="Times New Roman" w:hAnsi="Times New Roman"/>
          <w:bCs/>
        </w:rPr>
        <w:t>Week 12</w:t>
      </w:r>
      <w:r w:rsidRPr="007853EE">
        <w:rPr>
          <w:rFonts w:ascii="Times New Roman" w:hAnsi="Times New Roman"/>
          <w:bCs/>
        </w:rPr>
        <w:tab/>
        <w:t xml:space="preserve">Back-testing; Stress-testing; Alternative Risk Measures; </w:t>
      </w:r>
    </w:p>
    <w:p w:rsidR="00771389" w:rsidRPr="007853EE" w:rsidRDefault="00771389" w:rsidP="00771389">
      <w:pPr>
        <w:jc w:val="both"/>
        <w:rPr>
          <w:rFonts w:ascii="Times New Roman" w:hAnsi="Times New Roman"/>
          <w:bCs/>
        </w:rPr>
      </w:pPr>
      <w:r w:rsidRPr="007853EE">
        <w:rPr>
          <w:rFonts w:ascii="Times New Roman" w:hAnsi="Times New Roman"/>
          <w:bCs/>
        </w:rPr>
        <w:t>Week 13</w:t>
      </w:r>
      <w:r w:rsidRPr="007853EE">
        <w:rPr>
          <w:rFonts w:ascii="Times New Roman" w:hAnsi="Times New Roman"/>
          <w:bCs/>
        </w:rPr>
        <w:tab/>
        <w:t xml:space="preserve">Liquidity Risk; </w:t>
      </w:r>
    </w:p>
    <w:p w:rsidR="00771389" w:rsidRPr="007853EE" w:rsidRDefault="00771389" w:rsidP="00771389">
      <w:pPr>
        <w:jc w:val="both"/>
        <w:rPr>
          <w:rFonts w:ascii="Times New Roman" w:hAnsi="Times New Roman"/>
          <w:bCs/>
        </w:rPr>
      </w:pPr>
      <w:r w:rsidRPr="007853EE">
        <w:rPr>
          <w:rFonts w:ascii="Times New Roman" w:hAnsi="Times New Roman"/>
          <w:bCs/>
        </w:rPr>
        <w:t>Week 14&amp;15</w:t>
      </w:r>
      <w:r w:rsidRPr="007853EE">
        <w:rPr>
          <w:rFonts w:ascii="Times New Roman" w:hAnsi="Times New Roman"/>
          <w:bCs/>
        </w:rPr>
        <w:tab/>
        <w:t xml:space="preserve">Credit Risk; Merton Model; </w:t>
      </w:r>
    </w:p>
    <w:p w:rsidR="00771389" w:rsidRPr="007853EE" w:rsidRDefault="00771389" w:rsidP="00771389">
      <w:pPr>
        <w:jc w:val="both"/>
        <w:rPr>
          <w:rFonts w:ascii="Times New Roman" w:hAnsi="Times New Roman"/>
          <w:bCs/>
        </w:rPr>
      </w:pPr>
      <w:r w:rsidRPr="007853EE">
        <w:rPr>
          <w:rFonts w:ascii="Times New Roman" w:hAnsi="Times New Roman"/>
          <w:bCs/>
        </w:rPr>
        <w:t>Week 16</w:t>
      </w:r>
      <w:r w:rsidRPr="007853EE">
        <w:rPr>
          <w:rFonts w:ascii="Times New Roman" w:hAnsi="Times New Roman"/>
          <w:bCs/>
        </w:rPr>
        <w:tab/>
        <w:t>Modern Structural and Reduced-form Models; Credit Derivatives</w:t>
      </w:r>
    </w:p>
    <w:p w:rsidR="00771389" w:rsidRDefault="00771389" w:rsidP="00771389">
      <w:pPr>
        <w:jc w:val="both"/>
        <w:rPr>
          <w:rFonts w:ascii="Times New Roman" w:hAnsi="Times New Roman"/>
          <w:b/>
          <w:bCs/>
        </w:rPr>
      </w:pPr>
    </w:p>
    <w:p w:rsidR="00771389" w:rsidRPr="007853EE" w:rsidRDefault="00771389" w:rsidP="00771389">
      <w:pPr>
        <w:jc w:val="both"/>
        <w:rPr>
          <w:rFonts w:ascii="Times New Roman" w:hAnsi="Times New Roman"/>
          <w:b/>
          <w:bCs/>
        </w:rPr>
      </w:pPr>
      <w:r w:rsidRPr="007853EE">
        <w:rPr>
          <w:rFonts w:ascii="Times New Roman" w:hAnsi="Times New Roman"/>
          <w:b/>
          <w:bCs/>
        </w:rPr>
        <w:t>Recommended Texts:</w:t>
      </w:r>
    </w:p>
    <w:p w:rsidR="00771389" w:rsidRPr="007853EE" w:rsidRDefault="00771389" w:rsidP="00771389">
      <w:pPr>
        <w:ind w:left="720" w:hangingChars="300" w:hanging="720"/>
        <w:jc w:val="both"/>
        <w:rPr>
          <w:rFonts w:ascii="Times New Roman" w:hAnsi="Times New Roman"/>
        </w:rPr>
      </w:pPr>
      <w:r w:rsidRPr="007853EE">
        <w:rPr>
          <w:rFonts w:ascii="Times New Roman" w:hAnsi="Times New Roman"/>
        </w:rPr>
        <w:t xml:space="preserve">Christoffersen, P. (2012). </w:t>
      </w:r>
      <w:r w:rsidRPr="007853EE">
        <w:rPr>
          <w:rFonts w:ascii="Times New Roman" w:hAnsi="Times New Roman"/>
          <w:i/>
        </w:rPr>
        <w:t>Elements of Financial Risk Management</w:t>
      </w:r>
      <w:r w:rsidRPr="007853EE">
        <w:rPr>
          <w:rFonts w:ascii="Times New Roman" w:hAnsi="Times New Roman"/>
        </w:rPr>
        <w:t>. Elsvier Inc.</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lastRenderedPageBreak/>
        <w:t xml:space="preserve">Allen, S. L. (2012). </w:t>
      </w:r>
      <w:r w:rsidRPr="007853EE">
        <w:rPr>
          <w:rFonts w:ascii="Times New Roman" w:hAnsi="Times New Roman"/>
          <w:i/>
          <w:iCs/>
          <w:noProof/>
          <w:sz w:val="24"/>
          <w:szCs w:val="24"/>
        </w:rPr>
        <w:t>Financial Risk Management: A Practitioner's Guide to Managing Market and Credit Risk,</w:t>
      </w:r>
      <w:r w:rsidRPr="007853EE">
        <w:rPr>
          <w:rFonts w:ascii="Times New Roman" w:hAnsi="Times New Roman"/>
          <w:noProof/>
          <w:sz w:val="24"/>
          <w:szCs w:val="24"/>
        </w:rPr>
        <w:t xml:space="preserve"> (2</w:t>
      </w:r>
      <w:r w:rsidRPr="007853EE">
        <w:rPr>
          <w:rFonts w:ascii="Times New Roman" w:hAnsi="Times New Roman"/>
          <w:noProof/>
          <w:sz w:val="24"/>
          <w:szCs w:val="24"/>
          <w:vertAlign w:val="superscript"/>
        </w:rPr>
        <w:t>nd</w:t>
      </w:r>
      <w:r w:rsidRPr="007853EE">
        <w:rPr>
          <w:rFonts w:ascii="Times New Roman" w:hAnsi="Times New Roman"/>
          <w:noProof/>
          <w:sz w:val="24"/>
          <w:szCs w:val="24"/>
        </w:rPr>
        <w:t xml:space="preserve"> Edition). Wiley.</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Crouhy, M., Mark, R., &amp; Galai, D. (2000). </w:t>
      </w:r>
      <w:r w:rsidRPr="007853EE">
        <w:rPr>
          <w:rFonts w:ascii="Times New Roman" w:hAnsi="Times New Roman"/>
          <w:i/>
          <w:iCs/>
          <w:noProof/>
          <w:sz w:val="24"/>
          <w:szCs w:val="24"/>
        </w:rPr>
        <w:t>Risk Management</w:t>
      </w:r>
      <w:r w:rsidRPr="007853EE">
        <w:rPr>
          <w:rFonts w:ascii="Times New Roman" w:hAnsi="Times New Roman"/>
          <w:noProof/>
          <w:sz w:val="24"/>
          <w:szCs w:val="24"/>
        </w:rPr>
        <w:t xml:space="preserve"> (1</w:t>
      </w:r>
      <w:r w:rsidRPr="007853EE">
        <w:rPr>
          <w:rFonts w:ascii="Times New Roman" w:hAnsi="Times New Roman"/>
          <w:noProof/>
          <w:sz w:val="24"/>
          <w:szCs w:val="24"/>
          <w:vertAlign w:val="superscript"/>
        </w:rPr>
        <w:t>st</w:t>
      </w:r>
      <w:r w:rsidRPr="007853EE">
        <w:rPr>
          <w:rFonts w:ascii="Times New Roman" w:hAnsi="Times New Roman"/>
          <w:noProof/>
          <w:sz w:val="24"/>
          <w:szCs w:val="24"/>
        </w:rPr>
        <w:t xml:space="preserve"> Edition). McGraw-Hill.</w:t>
      </w:r>
    </w:p>
    <w:p w:rsidR="00771389" w:rsidRPr="007853EE" w:rsidRDefault="00771389" w:rsidP="00771389">
      <w:pPr>
        <w:ind w:left="720" w:hangingChars="300" w:hanging="720"/>
        <w:jc w:val="both"/>
        <w:rPr>
          <w:rFonts w:ascii="Times New Roman" w:hAnsi="Times New Roman"/>
        </w:rPr>
      </w:pPr>
      <w:r w:rsidRPr="007853EE">
        <w:rPr>
          <w:rFonts w:ascii="Times New Roman" w:hAnsi="Times New Roman"/>
        </w:rPr>
        <w:t xml:space="preserve">Bradstreet ,D.(2007). </w:t>
      </w:r>
      <w:r w:rsidRPr="007853EE">
        <w:rPr>
          <w:rFonts w:ascii="Times New Roman" w:hAnsi="Times New Roman"/>
          <w:i/>
        </w:rPr>
        <w:t>Financial Risk Management</w:t>
      </w:r>
      <w:r>
        <w:rPr>
          <w:rFonts w:ascii="Times New Roman" w:hAnsi="Times New Roman"/>
        </w:rPr>
        <w:t>. Tata McG</w:t>
      </w:r>
      <w:r w:rsidRPr="007853EE">
        <w:rPr>
          <w:rFonts w:ascii="Times New Roman" w:hAnsi="Times New Roman"/>
        </w:rPr>
        <w:t>raw</w:t>
      </w:r>
      <w:r>
        <w:rPr>
          <w:rFonts w:ascii="Times New Roman" w:hAnsi="Times New Roman"/>
        </w:rPr>
        <w:t>-H</w:t>
      </w:r>
      <w:r w:rsidRPr="007853EE">
        <w:rPr>
          <w:rFonts w:ascii="Times New Roman" w:hAnsi="Times New Roman"/>
        </w:rPr>
        <w:t xml:space="preserve">ill. </w:t>
      </w:r>
    </w:p>
    <w:p w:rsidR="00771389" w:rsidRPr="007853EE" w:rsidRDefault="00771389" w:rsidP="00771389">
      <w:pPr>
        <w:pStyle w:val="Bibliography"/>
        <w:spacing w:after="0" w:line="240" w:lineRule="auto"/>
        <w:ind w:left="720" w:hanging="720"/>
        <w:jc w:val="both"/>
        <w:rPr>
          <w:rFonts w:ascii="Times New Roman" w:hAnsi="Times New Roman"/>
          <w:noProof/>
          <w:sz w:val="24"/>
          <w:szCs w:val="24"/>
        </w:rPr>
      </w:pPr>
      <w:r w:rsidRPr="007853EE">
        <w:rPr>
          <w:rFonts w:ascii="Times New Roman" w:hAnsi="Times New Roman"/>
          <w:noProof/>
          <w:sz w:val="24"/>
          <w:szCs w:val="24"/>
        </w:rPr>
        <w:t xml:space="preserve">Chatterjee, R. (2014). </w:t>
      </w:r>
      <w:r w:rsidRPr="007853EE">
        <w:rPr>
          <w:rFonts w:ascii="Times New Roman" w:hAnsi="Times New Roman"/>
          <w:i/>
          <w:iCs/>
          <w:noProof/>
          <w:sz w:val="24"/>
          <w:szCs w:val="24"/>
        </w:rPr>
        <w:t>Practical Methods of Financial Engineering and Risk Management: Tools for Modern Financial Professionals</w:t>
      </w:r>
      <w:r>
        <w:rPr>
          <w:rFonts w:ascii="Times New Roman" w:hAnsi="Times New Roman"/>
          <w:i/>
          <w:iCs/>
          <w:noProof/>
          <w:sz w:val="24"/>
          <w:szCs w:val="24"/>
        </w:rPr>
        <w:t>,</w:t>
      </w:r>
      <w:r w:rsidRPr="007853EE">
        <w:rPr>
          <w:rFonts w:ascii="Times New Roman" w:hAnsi="Times New Roman"/>
          <w:noProof/>
          <w:sz w:val="24"/>
          <w:szCs w:val="24"/>
        </w:rPr>
        <w:t xml:space="preserve"> (1</w:t>
      </w:r>
      <w:r w:rsidRPr="007853EE">
        <w:rPr>
          <w:rFonts w:ascii="Times New Roman" w:hAnsi="Times New Roman"/>
          <w:noProof/>
          <w:sz w:val="24"/>
          <w:szCs w:val="24"/>
          <w:vertAlign w:val="superscript"/>
        </w:rPr>
        <w:t>st</w:t>
      </w:r>
      <w:r w:rsidRPr="007853EE">
        <w:rPr>
          <w:rFonts w:ascii="Times New Roman" w:hAnsi="Times New Roman"/>
          <w:noProof/>
          <w:sz w:val="24"/>
          <w:szCs w:val="24"/>
        </w:rPr>
        <w:t xml:space="preserve"> Edition). Apress.</w:t>
      </w:r>
    </w:p>
    <w:p w:rsidR="00771389" w:rsidRPr="007853EE" w:rsidRDefault="00771389" w:rsidP="00771389">
      <w:pPr>
        <w:ind w:left="720" w:hangingChars="300" w:hanging="720"/>
        <w:jc w:val="both"/>
        <w:rPr>
          <w:rFonts w:ascii="Times New Roman" w:hAnsi="Times New Roman"/>
          <w:bCs/>
        </w:rPr>
      </w:pPr>
      <w:r w:rsidRPr="007853EE">
        <w:rPr>
          <w:rFonts w:ascii="Times New Roman" w:hAnsi="Times New Roman"/>
          <w:bCs/>
        </w:rPr>
        <w:t xml:space="preserve">Hull, J. C. (2006). </w:t>
      </w:r>
      <w:r w:rsidRPr="007853EE">
        <w:rPr>
          <w:rFonts w:ascii="Times New Roman" w:hAnsi="Times New Roman"/>
          <w:bCs/>
          <w:i/>
        </w:rPr>
        <w:t>Risk Manag</w:t>
      </w:r>
      <w:r>
        <w:rPr>
          <w:rFonts w:ascii="Times New Roman" w:hAnsi="Times New Roman"/>
          <w:bCs/>
          <w:i/>
        </w:rPr>
        <w:t>ement and Financial Institution.</w:t>
      </w:r>
      <w:r w:rsidRPr="007853EE">
        <w:rPr>
          <w:rFonts w:ascii="Times New Roman" w:hAnsi="Times New Roman"/>
          <w:bCs/>
        </w:rPr>
        <w:t xml:space="preserve"> </w:t>
      </w:r>
      <w:r>
        <w:rPr>
          <w:rFonts w:ascii="Times New Roman" w:hAnsi="Times New Roman"/>
          <w:bCs/>
        </w:rPr>
        <w:t>Prentice-Hall</w:t>
      </w:r>
    </w:p>
    <w:p w:rsidR="0002017A" w:rsidRDefault="00771389" w:rsidP="00771389">
      <w:r w:rsidRPr="007853EE">
        <w:rPr>
          <w:rFonts w:ascii="Times New Roman" w:hAnsi="Times New Roman"/>
          <w:noProof/>
        </w:rPr>
        <w:t xml:space="preserve">Van Deventer, D. R., Imai, K., &amp; Masler, M. (2013). </w:t>
      </w:r>
      <w:r w:rsidRPr="007853EE">
        <w:rPr>
          <w:rFonts w:ascii="Times New Roman" w:hAnsi="Times New Roman"/>
          <w:i/>
          <w:iCs/>
          <w:noProof/>
        </w:rPr>
        <w:t>Advanced Financial Risk Management: Tools and Techniques for Integrated Credit Risk and Interest Rate Risk Management</w:t>
      </w:r>
      <w:r>
        <w:rPr>
          <w:rFonts w:ascii="Times New Roman" w:hAnsi="Times New Roman"/>
          <w:i/>
          <w:iCs/>
          <w:noProof/>
        </w:rPr>
        <w:t>,</w:t>
      </w:r>
      <w:r w:rsidRPr="007853EE">
        <w:rPr>
          <w:rFonts w:ascii="Times New Roman" w:hAnsi="Times New Roman"/>
          <w:noProof/>
        </w:rPr>
        <w:t xml:space="preserve"> (2</w:t>
      </w:r>
      <w:r w:rsidRPr="007853EE">
        <w:rPr>
          <w:rFonts w:ascii="Times New Roman" w:hAnsi="Times New Roman"/>
          <w:noProof/>
          <w:vertAlign w:val="superscript"/>
        </w:rPr>
        <w:t>nd</w:t>
      </w:r>
      <w:r w:rsidRPr="007853EE">
        <w:rPr>
          <w:rFonts w:ascii="Times New Roman" w:hAnsi="Times New Roman"/>
          <w:noProof/>
        </w:rPr>
        <w:t xml:space="preserve"> Edition). Wiley.</w:t>
      </w:r>
    </w:p>
    <w:sectPr w:rsidR="0002017A" w:rsidSect="00020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89"/>
    <w:rsid w:val="0002017A"/>
    <w:rsid w:val="003475E8"/>
    <w:rsid w:val="00771389"/>
    <w:rsid w:val="009F77F3"/>
    <w:rsid w:val="00AC0EAD"/>
    <w:rsid w:val="00C3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0DE9F-ECB8-43CB-959C-85B0EF33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89"/>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semiHidden/>
    <w:unhideWhenUsed/>
    <w:qFormat/>
    <w:rsid w:val="007713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1389"/>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71389"/>
    <w:rPr>
      <w:color w:val="0000FF"/>
      <w:u w:val="single"/>
    </w:rPr>
  </w:style>
  <w:style w:type="paragraph" w:styleId="Bibliography">
    <w:name w:val="Bibliography"/>
    <w:basedOn w:val="Normal"/>
    <w:next w:val="Normal"/>
    <w:uiPriority w:val="37"/>
    <w:unhideWhenUsed/>
    <w:rsid w:val="00771389"/>
    <w:pPr>
      <w:spacing w:after="200" w:line="276" w:lineRule="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se.com.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5063</Characters>
  <Application>Microsoft Office Word</Application>
  <DocSecurity>0</DocSecurity>
  <Lines>42</Lines>
  <Paragraphs>11</Paragraphs>
  <ScaleCrop>false</ScaleCrop>
  <Company>Grizli777</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Ali Shah</dc:creator>
  <cp:keywords/>
  <dc:description/>
  <cp:lastModifiedBy>Pc</cp:lastModifiedBy>
  <cp:revision>2</cp:revision>
  <dcterms:created xsi:type="dcterms:W3CDTF">2020-04-10T07:02:00Z</dcterms:created>
  <dcterms:modified xsi:type="dcterms:W3CDTF">2020-04-10T07:02:00Z</dcterms:modified>
</cp:coreProperties>
</file>